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BrightPath Learning Network | Prepared with GuardAxis</w:t>
      </w:r>
    </w:p>
    <w:p>
      <w:pPr>
        <w:spacing w:after="120" w:line="320"/>
      </w:pPr>
      <w:r>
        <w:t xml:space="preserve">BrightPath Learning Network receives a high draft risk posture in this Phase 2 demo because the intake indicates internal only AI use with PII, employee records, customer content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BrightPath Learning Network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student, donor, volunteer, or beneficiary records into unapproved AI tools.; Do not use AI to make autonomous admissions, eligibility, grading, aid, or ser...</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communications support, Program planning and curriculum assistance, Grant writing and donor communication drafts, Administrative summarization. Customer-visible or externally shared outputs shoul...</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employee records, customer content,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BrightPath Learning Network</w:t>
      </w:r>
    </w:p>
    <w:p>
      <w:pPr>
        <w:pStyle w:val="ListParagraph"/>
        <w:numPr>
          <w:ilvl w:val="0"/>
          <w:numId w:val="1"/>
        </w:numPr>
        <w:spacing w:after="100" w:line="300"/>
      </w:pPr>
      <w:r>
        <w:rPr>
          <w:b/>
          <w:bCs/>
        </w:rPr>
        <w:t xml:space="preserve">Primary website: </w:t>
      </w:r>
      <w:r>
        <w:t xml:space="preserve">https://education-nonprofit.guardaxis.io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employee records, customer content</w:t>
      </w:r>
    </w:p>
    <w:p>
      <w:pPr>
        <w:pStyle w:val="ListParagraph"/>
        <w:numPr>
          <w:ilvl w:val="0"/>
          <w:numId w:val="1"/>
        </w:numPr>
        <w:spacing w:after="100" w:line="300"/>
      </w:pPr>
      <w:r>
        <w:rPr>
          <w:b/>
          <w:bCs/>
        </w:rPr>
        <w:t xml:space="preserve">Current AI tools: </w:t>
      </w:r>
      <w:r>
        <w:t xml:space="preserve">ChatGPT,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education-nonprofit.guardaxis.io: </w:t>
      </w:r>
      <w:r>
        <w:t xml:space="preserve">BrightPath Learning Network is a sample nonprofit education program supporting community learning, program delivery, volunteers, and donors.</w:t>
      </w:r>
    </w:p>
    <w:p>
      <w:pPr>
        <w:spacing w:after="120" w:line="260"/>
        <w:ind w:left="720"/>
      </w:pPr>
      <w:r>
        <w:rPr>
          <w:i/>
          <w:iCs/>
          <w:color w:val="496171"/>
        </w:rPr>
        <w:t xml:space="preserve">Observed public fact | Source: education-nonprofit.guardaxis.io</w:t>
      </w:r>
    </w:p>
    <w:p>
      <w:pPr>
        <w:pStyle w:val="ListParagraph"/>
        <w:numPr>
          <w:ilvl w:val="0"/>
          <w:numId w:val="1"/>
        </w:numPr>
        <w:spacing w:after="100" w:line="300"/>
      </w:pPr>
      <w:r>
        <w:rPr>
          <w:b/>
          <w:bCs/>
        </w:rPr>
        <w:t xml:space="preserve">education-nonprofit.guardaxis.io/operations: </w:t>
      </w:r>
      <w:r>
        <w:t xml:space="preserve">Teams use AI for grant drafts, lesson or program planning support, donor communications, internal summaries, and administrative drafting.</w:t>
      </w:r>
    </w:p>
    <w:p>
      <w:pPr>
        <w:spacing w:after="120" w:line="260"/>
        <w:ind w:left="720"/>
      </w:pPr>
      <w:r>
        <w:rPr>
          <w:i/>
          <w:iCs/>
          <w:color w:val="496171"/>
        </w:rPr>
        <w:t xml:space="preserve">Observed public fact | Source: education-nonprofit.guardaxis.io/operations</w:t>
      </w:r>
    </w:p>
    <w:p>
      <w:pPr>
        <w:pStyle w:val="ListParagraph"/>
        <w:numPr>
          <w:ilvl w:val="0"/>
          <w:numId w:val="1"/>
        </w:numPr>
        <w:spacing w:after="100" w:line="300"/>
      </w:pPr>
      <w:r>
        <w:rPr>
          <w:b/>
          <w:bCs/>
        </w:rPr>
        <w:t xml:space="preserve">education-nonprofit.guardaxis.io/trust: </w:t>
      </w:r>
      <w:r>
        <w:t xml:space="preserve">The sample trust notes emphasize sensitive participant data, donor confidentiality, staff review, approved tools, and no autonomous eligibility or grading decisions.</w:t>
      </w:r>
    </w:p>
    <w:p>
      <w:pPr>
        <w:spacing w:after="120" w:line="260"/>
        <w:ind w:left="720"/>
      </w:pPr>
      <w:r>
        <w:rPr>
          <w:i/>
          <w:iCs/>
          <w:color w:val="496171"/>
        </w:rPr>
        <w:t xml:space="preserve">Observed public fact | Source: education-nonprofit.guardaxis.io/trust</w:t>
      </w:r>
    </w:p>
    <w:p>
      <w:pPr>
        <w:pStyle w:val="ListParagraph"/>
        <w:numPr>
          <w:ilvl w:val="0"/>
          <w:numId w:val="1"/>
        </w:numPr>
        <w:spacing w:after="100" w:line="300"/>
      </w:pPr>
      <w:r>
        <w:rPr>
          <w:b/>
          <w:bCs/>
        </w:rPr>
        <w:t xml:space="preserve">education-nonprofit.guardaxis.io/privacy: </w:t>
      </w:r>
      <w:r>
        <w:t xml:space="preserve">The sample privacy notes identify student records, donor information, volunteer data, beneficiary context, and employee records as sensitive.</w:t>
      </w:r>
    </w:p>
    <w:p>
      <w:pPr>
        <w:spacing w:after="120" w:line="260"/>
        <w:ind w:left="720"/>
      </w:pPr>
      <w:r>
        <w:rPr>
          <w:i/>
          <w:iCs/>
          <w:color w:val="496171"/>
        </w:rPr>
        <w:t xml:space="preserve">Observed public fact | Source: education-nonprofit.guardaxis.io/privacy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2026-07-01T16:01:11.710Z</dcterms:created>
  <dcterms:modified xsi:type="dcterms:W3CDTF">2026-07-01T16:01:11.710Z</dcterms:modified>
</cp:coreProperties>
</file>

<file path=docProps/custom.xml><?xml version="1.0" encoding="utf-8"?>
<Properties xmlns="http://schemas.openxmlformats.org/officeDocument/2006/custom-properties" xmlns:vt="http://schemas.openxmlformats.org/officeDocument/2006/docPropsVTypes"/>
</file>