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Harbor Clinic Group | Prepared with GuardAxis</w:t>
      </w:r>
    </w:p>
    <w:p>
      <w:pPr>
        <w:spacing w:after="120" w:line="320"/>
      </w:pPr>
      <w:r>
        <w:t xml:space="preserve">Harbor Clinic Group receives a high draft risk posture in this Phase 2 demo because the intake indicates internal only AI use with PHI,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Harbor Clinic Group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patient health information into unapproved AI tools.; Do not use AI to make autonomous clinical, eligibility, billing, or patient-care decisions.; Do not pu...</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administrative support, Scheduling and operations assistance, Staff knowledge-base summarization, Non-clinical documentation support with review. Customer-visible or externally shared outputs sho...</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PHI,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Harbor Clinic Group</w:t>
      </w:r>
    </w:p>
    <w:p>
      <w:pPr>
        <w:pStyle w:val="ListParagraph"/>
        <w:numPr>
          <w:ilvl w:val="0"/>
          <w:numId w:val="1"/>
        </w:numPr>
        <w:spacing w:after="100" w:line="300"/>
      </w:pPr>
      <w:r>
        <w:rPr>
          <w:b/>
          <w:bCs/>
        </w:rPr>
        <w:t xml:space="preserve">Primary website: </w:t>
      </w:r>
      <w:r>
        <w:t xml:space="preserve">https://healthcare-services.guardaxis.io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PHI, PII, employee records, customer content</w:t>
      </w:r>
    </w:p>
    <w:p>
      <w:pPr>
        <w:pStyle w:val="ListParagraph"/>
        <w:numPr>
          <w:ilvl w:val="0"/>
          <w:numId w:val="1"/>
        </w:numPr>
        <w:spacing w:after="100" w:line="300"/>
      </w:pPr>
      <w:r>
        <w:rPr>
          <w:b/>
          <w:bCs/>
        </w:rPr>
        <w:t xml:space="preserve">Current AI tools: </w:t>
      </w:r>
      <w:r>
        <w:t xml:space="preserve">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healthcare-services.guardaxis.io: </w:t>
      </w:r>
      <w:r>
        <w:t xml:space="preserve">Harbor Clinic Group is a sample multi-location patient-services provider using AI only for administrative support and staff productivity.</w:t>
      </w:r>
    </w:p>
    <w:p>
      <w:pPr>
        <w:spacing w:after="120" w:line="260"/>
        <w:ind w:left="720"/>
      </w:pPr>
      <w:r>
        <w:rPr>
          <w:i/>
          <w:iCs/>
          <w:color w:val="496171"/>
        </w:rPr>
        <w:t xml:space="preserve">Observed public fact | Source: healthcare-services.guardaxis.io</w:t>
      </w:r>
    </w:p>
    <w:p>
      <w:pPr>
        <w:pStyle w:val="ListParagraph"/>
        <w:numPr>
          <w:ilvl w:val="0"/>
          <w:numId w:val="1"/>
        </w:numPr>
        <w:spacing w:after="100" w:line="300"/>
      </w:pPr>
      <w:r>
        <w:rPr>
          <w:b/>
          <w:bCs/>
        </w:rPr>
        <w:t xml:space="preserve">healthcare-services.guardaxis.io/operations: </w:t>
      </w:r>
      <w:r>
        <w:t xml:space="preserve">Staff may use approved AI tools for non-clinical drafting, scheduling summaries, internal knowledge support, and administrative documentation assistance.</w:t>
      </w:r>
    </w:p>
    <w:p>
      <w:pPr>
        <w:spacing w:after="120" w:line="260"/>
        <w:ind w:left="720"/>
      </w:pPr>
      <w:r>
        <w:rPr>
          <w:i/>
          <w:iCs/>
          <w:color w:val="496171"/>
        </w:rPr>
        <w:t xml:space="preserve">Observed public fact | Source: healthcare-services.guardaxis.io/operations</w:t>
      </w:r>
    </w:p>
    <w:p>
      <w:pPr>
        <w:pStyle w:val="ListParagraph"/>
        <w:numPr>
          <w:ilvl w:val="0"/>
          <w:numId w:val="1"/>
        </w:numPr>
        <w:spacing w:after="100" w:line="300"/>
      </w:pPr>
      <w:r>
        <w:rPr>
          <w:b/>
          <w:bCs/>
        </w:rPr>
        <w:t xml:space="preserve">healthcare-services.guardaxis.io/trust: </w:t>
      </w:r>
      <w:r>
        <w:t xml:space="preserve">The sample trust notes emphasize workforce training, patient-data handling restrictions, vendor review, logging expectations, and review before patient-facing communication.</w:t>
      </w:r>
    </w:p>
    <w:p>
      <w:pPr>
        <w:spacing w:after="120" w:line="260"/>
        <w:ind w:left="720"/>
      </w:pPr>
      <w:r>
        <w:rPr>
          <w:i/>
          <w:iCs/>
          <w:color w:val="496171"/>
        </w:rPr>
        <w:t xml:space="preserve">Observed public fact | Source: healthcare-services.guardaxis.io/trust</w:t>
      </w:r>
    </w:p>
    <w:p>
      <w:pPr>
        <w:pStyle w:val="ListParagraph"/>
        <w:numPr>
          <w:ilvl w:val="0"/>
          <w:numId w:val="1"/>
        </w:numPr>
        <w:spacing w:after="100" w:line="300"/>
      </w:pPr>
      <w:r>
        <w:rPr>
          <w:b/>
          <w:bCs/>
        </w:rPr>
        <w:t xml:space="preserve">healthcare-services.guardaxis.io/privacy: </w:t>
      </w:r>
      <w:r>
        <w:t xml:space="preserve">The sample privacy notes identify patient information, contact details, appointment context, billing-adjacent data, and employee records as sensitive.</w:t>
      </w:r>
    </w:p>
    <w:p>
      <w:pPr>
        <w:spacing w:after="120" w:line="260"/>
        <w:ind w:left="720"/>
      </w:pPr>
      <w:r>
        <w:rPr>
          <w:i/>
          <w:iCs/>
          <w:color w:val="496171"/>
        </w:rPr>
        <w:t xml:space="preserve">Observed public fact | Source: healthcare-services.guardaxis.io/privacy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2026-05-17T12:44:00.007Z</dcterms:created>
  <dcterms:modified xsi:type="dcterms:W3CDTF">2026-05-17T12:44:00.007Z</dcterms:modified>
</cp:coreProperties>
</file>

<file path=docProps/custom.xml><?xml version="1.0" encoding="utf-8"?>
<Properties xmlns="http://schemas.openxmlformats.org/officeDocument/2006/custom-properties" xmlns:vt="http://schemas.openxmlformats.org/officeDocument/2006/docPropsVTypes"/>
</file>