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FairHire Workforce Ops | Prepared with GuardAxis</w:t>
      </w:r>
    </w:p>
    <w:p>
      <w:pPr>
        <w:spacing w:after="120" w:line="320"/>
      </w:pPr>
      <w:r>
        <w:t xml:space="preserve">FairHire Workforce Ops receives a high draft risk posture in this Phase 2 demo because the intake indicates internal only AI use with PII, employee records, customer content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2.</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detailed operational controls for regulated data handling.</w:t>
      </w:r>
    </w:p>
    <w:p>
      <w:pPr>
        <w:pStyle w:val="Heading1"/>
      </w:pPr>
      <w:r>
        <w:t xml:space="preserve">Package Snapshot</w:t>
      </w:r>
    </w:p>
    <w:p>
      <w:pPr>
        <w:spacing w:after="120" w:line="320"/>
      </w:pPr>
      <w:r>
        <w:t xml:space="preserve">This draft guidelines package is grounded in 6 business inputs, 4 website evidence notes, and 2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FairHire Workforce Ops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submit sensitive candidate or employee records into unapproved AI tools.; Do not use AI to make autonomous hiring, termination, promotion, compensation, or discip...</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Job description and communication drafting, Candidate and employee communication support, Policy and benefits summarization, Workforce operations analysis. Customer-visible or externally shared outputs should stay wit...</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PII, employee records, customer content,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FairHire Workforce Ops</w:t>
      </w:r>
    </w:p>
    <w:p>
      <w:pPr>
        <w:pStyle w:val="ListParagraph"/>
        <w:numPr>
          <w:ilvl w:val="0"/>
          <w:numId w:val="1"/>
        </w:numPr>
        <w:spacing w:after="100" w:line="300"/>
      </w:pPr>
      <w:r>
        <w:rPr>
          <w:b/>
          <w:bCs/>
        </w:rPr>
        <w:t xml:space="preserve">Primary website: </w:t>
      </w:r>
      <w:r>
        <w:t xml:space="preserve">https://hr-workforce.guardaxis.io</w:t>
      </w:r>
    </w:p>
    <w:p>
      <w:pPr>
        <w:pStyle w:val="ListParagraph"/>
        <w:numPr>
          <w:ilvl w:val="0"/>
          <w:numId w:val="1"/>
        </w:numPr>
        <w:spacing w:after="100" w:line="300"/>
      </w:pPr>
      <w:r>
        <w:rPr>
          <w:b/>
          <w:bCs/>
        </w:rPr>
        <w:t xml:space="preserve">AI usage mode: </w:t>
      </w:r>
      <w:r>
        <w:t xml:space="preserve">internal only</w:t>
      </w:r>
    </w:p>
    <w:p>
      <w:pPr>
        <w:pStyle w:val="ListParagraph"/>
        <w:numPr>
          <w:ilvl w:val="0"/>
          <w:numId w:val="1"/>
        </w:numPr>
        <w:spacing w:after="100" w:line="300"/>
      </w:pPr>
      <w:r>
        <w:rPr>
          <w:b/>
          <w:bCs/>
        </w:rPr>
        <w:t xml:space="preserve">Customer-facing AI: </w:t>
      </w:r>
      <w:r>
        <w:t xml:space="preserve">Not currently in scope</w:t>
      </w:r>
    </w:p>
    <w:p>
      <w:pPr>
        <w:pStyle w:val="ListParagraph"/>
        <w:numPr>
          <w:ilvl w:val="0"/>
          <w:numId w:val="1"/>
        </w:numPr>
        <w:spacing w:after="100" w:line="300"/>
      </w:pPr>
      <w:r>
        <w:rPr>
          <w:b/>
          <w:bCs/>
        </w:rPr>
        <w:t xml:space="preserve">Sensitive data types: </w:t>
      </w:r>
      <w:r>
        <w:t xml:space="preserve">PII, employee records, customer content</w:t>
      </w:r>
    </w:p>
    <w:p>
      <w:pPr>
        <w:pStyle w:val="ListParagraph"/>
        <w:numPr>
          <w:ilvl w:val="0"/>
          <w:numId w:val="1"/>
        </w:numPr>
        <w:spacing w:after="100" w:line="300"/>
      </w:pPr>
      <w:r>
        <w:rPr>
          <w:b/>
          <w:bCs/>
        </w:rPr>
        <w:t xml:space="preserve">Current AI tools: </w:t>
      </w:r>
      <w:r>
        <w:t xml:space="preserve">AI features inside HR or productivity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hr-workforce.guardaxis.io: </w:t>
      </w:r>
      <w:r>
        <w:t xml:space="preserve">FairHire Workforce Ops is a sample HR operations team supporting hiring, employee communications, and workforce process improvement.</w:t>
      </w:r>
    </w:p>
    <w:p>
      <w:pPr>
        <w:spacing w:after="120" w:line="260"/>
        <w:ind w:left="720"/>
      </w:pPr>
      <w:r>
        <w:rPr>
          <w:i/>
          <w:iCs/>
          <w:color w:val="496171"/>
        </w:rPr>
        <w:t xml:space="preserve">Observed public fact | Source: hr-workforce.guardaxis.io</w:t>
      </w:r>
    </w:p>
    <w:p>
      <w:pPr>
        <w:pStyle w:val="ListParagraph"/>
        <w:numPr>
          <w:ilvl w:val="0"/>
          <w:numId w:val="1"/>
        </w:numPr>
        <w:spacing w:after="100" w:line="300"/>
      </w:pPr>
      <w:r>
        <w:rPr>
          <w:b/>
          <w:bCs/>
        </w:rPr>
        <w:t xml:space="preserve">hr-workforce.guardaxis.io/operations: </w:t>
      </w:r>
      <w:r>
        <w:t xml:space="preserve">Teams use AI for job description drafts, candidate communication support, HR policy summaries, and workforce operations analysis.</w:t>
      </w:r>
    </w:p>
    <w:p>
      <w:pPr>
        <w:spacing w:after="120" w:line="260"/>
        <w:ind w:left="720"/>
      </w:pPr>
      <w:r>
        <w:rPr>
          <w:i/>
          <w:iCs/>
          <w:color w:val="496171"/>
        </w:rPr>
        <w:t xml:space="preserve">Observed public fact | Source: hr-workforce.guardaxis.io/operations</w:t>
      </w:r>
    </w:p>
    <w:p>
      <w:pPr>
        <w:pStyle w:val="ListParagraph"/>
        <w:numPr>
          <w:ilvl w:val="0"/>
          <w:numId w:val="1"/>
        </w:numPr>
        <w:spacing w:after="100" w:line="300"/>
      </w:pPr>
      <w:r>
        <w:rPr>
          <w:b/>
          <w:bCs/>
        </w:rPr>
        <w:t xml:space="preserve">hr-workforce.guardaxis.io/trust: </w:t>
      </w:r>
      <w:r>
        <w:t xml:space="preserve">The sample trust notes emphasize human review for employment-impacting work, bias-aware evaluation, approved tool use, and audit-friendly decision boundaries.</w:t>
      </w:r>
    </w:p>
    <w:p>
      <w:pPr>
        <w:spacing w:after="120" w:line="260"/>
        <w:ind w:left="720"/>
      </w:pPr>
      <w:r>
        <w:rPr>
          <w:i/>
          <w:iCs/>
          <w:color w:val="496171"/>
        </w:rPr>
        <w:t xml:space="preserve">Observed public fact | Source: hr-workforce.guardaxis.io/trust</w:t>
      </w:r>
    </w:p>
    <w:p>
      <w:pPr>
        <w:pStyle w:val="ListParagraph"/>
        <w:numPr>
          <w:ilvl w:val="0"/>
          <w:numId w:val="1"/>
        </w:numPr>
        <w:spacing w:after="100" w:line="300"/>
      </w:pPr>
      <w:r>
        <w:rPr>
          <w:b/>
          <w:bCs/>
        </w:rPr>
        <w:t xml:space="preserve">hr-workforce.guardaxis.io/privacy: </w:t>
      </w:r>
      <w:r>
        <w:t xml:space="preserve">The sample privacy notes identify candidate data, employee records, interview notes, compensation context, and sensitive HR records as restricted.</w:t>
      </w:r>
    </w:p>
    <w:p>
      <w:pPr>
        <w:spacing w:after="120" w:line="260"/>
        <w:ind w:left="720"/>
      </w:pPr>
      <w:r>
        <w:rPr>
          <w:i/>
          <w:iCs/>
          <w:color w:val="496171"/>
        </w:rPr>
        <w:t xml:space="preserve">Observed public fact | Source: hr-workforce.guardaxis.io/privacy</w:t>
      </w:r>
    </w:p>
    <w:p>
      <w:pPr>
        <w:pStyle w:val="Heading1"/>
        <w:pageBreakBefore/>
      </w:pPr>
      <w:r>
        <w:t xml:space="preserve">Appendix C | 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Sensitive data handling needs explicit AI restrictions</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 facing review</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2026-08-24T04:08:47.695Z</dcterms:created>
  <dcterms:modified xsi:type="dcterms:W3CDTF">2026-08-24T04:08:47.695Z</dcterms:modified>
</cp:coreProperties>
</file>

<file path=docProps/custom.xml><?xml version="1.0" encoding="utf-8"?>
<Properties xmlns="http://schemas.openxmlformats.org/officeDocument/2006/custom-properties" xmlns:vt="http://schemas.openxmlformats.org/officeDocument/2006/docPropsVTypes"/>
</file>