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120"/>
        <w:jc w:val="left"/>
      </w:pPr>
      <w:r>
        <w:t xml:space="preserve">AI Usage Guidelines Package</w:t>
      </w:r>
    </w:p>
    <w:p>
      <w:pPr>
        <w:spacing w:after="240"/>
      </w:pPr>
      <w:r>
        <w:rPr>
          <w:b/>
          <w:bCs/>
          <w:color w:val="496171"/>
        </w:rPr>
        <w:t xml:space="preserve">FairHire Workforce Ops | Prepared with GuardAxis</w:t>
      </w:r>
    </w:p>
    <w:p>
      <w:pPr>
        <w:spacing w:after="120" w:line="320"/>
      </w:pPr>
      <w:r>
        <w:t xml:space="preserve">FairHire Workforce Ops receives a high draft risk posture in this Phase 2 demo because the intake indicates internal only AI use with PII, employee records, customer content considerations.</w:t>
      </w:r>
    </w:p>
    <w:p>
      <w:pPr>
        <w:spacing w:after="220"/>
      </w:pPr>
      <w:r>
        <w:rPr>
          <w:i/>
          <w:iCs/>
          <w:color w:val="496171"/>
        </w:rPr>
        <w:t xml:space="preserve">This package is a draft and requires business, security, and legal review before use.</w:t>
      </w:r>
    </w:p>
    <w:p>
      <w:pPr>
        <w:pStyle w:val="Heading1"/>
      </w:pPr>
      <w:r>
        <w:t xml:space="preserve">At a Glance</w:t>
      </w:r>
    </w:p>
    <w:p>
      <w:pPr>
        <w:pStyle w:val="ListParagraph"/>
        <w:numPr>
          <w:ilvl w:val="0"/>
          <w:numId w:val="1"/>
        </w:numPr>
        <w:spacing w:after="100" w:line="300"/>
      </w:pPr>
      <w:r>
        <w:t xml:space="preserve">Included documents: AI Acceptable Use Policy; AI Security and Governance Policy; Employee AI Usage Standard; Third-Party AI Review Checklist.</w:t>
      </w:r>
    </w:p>
    <w:p>
      <w:pPr>
        <w:pStyle w:val="ListParagraph"/>
        <w:numPr>
          <w:ilvl w:val="0"/>
          <w:numId w:val="1"/>
        </w:numPr>
        <w:spacing w:after="100" w:line="300"/>
      </w:pPr>
      <w:r>
        <w:t xml:space="preserve">Evidence basis: 6 confirmed business inputs and 4 supporting website evidence notes.</w:t>
      </w:r>
    </w:p>
    <w:p>
      <w:pPr>
        <w:pStyle w:val="ListParagraph"/>
        <w:numPr>
          <w:ilvl w:val="0"/>
          <w:numId w:val="1"/>
        </w:numPr>
        <w:spacing w:after="100" w:line="300"/>
      </w:pPr>
      <w:r>
        <w:t xml:space="preserve">Drafting basis tracked for 8 sections before export.</w:t>
      </w:r>
    </w:p>
    <w:p>
      <w:pPr>
        <w:pStyle w:val="ListParagraph"/>
        <w:numPr>
          <w:ilvl w:val="0"/>
          <w:numId w:val="1"/>
        </w:numPr>
        <w:spacing w:after="100" w:line="300"/>
      </w:pPr>
      <w:r>
        <w:t xml:space="preserve">Priority risks carried into drafting: 2.</w:t>
      </w:r>
    </w:p>
    <w:p>
      <w:pPr>
        <w:pStyle w:val="Heading1"/>
      </w:pPr>
      <w:r>
        <w:t xml:space="preserve">Executive Summary</w:t>
      </w:r>
    </w:p>
    <w:p>
      <w:pPr>
        <w:pStyle w:val="ListParagraph"/>
        <w:numPr>
          <w:ilvl w:val="0"/>
          <w:numId w:val="1"/>
        </w:numPr>
        <w:spacing w:after="100" w:line="300"/>
      </w:pPr>
      <w:r>
        <w:t xml:space="preserve">Intake answers are treated as the primary source of truth.</w:t>
      </w:r>
    </w:p>
    <w:p>
      <w:pPr>
        <w:pStyle w:val="ListParagraph"/>
        <w:numPr>
          <w:ilvl w:val="0"/>
          <w:numId w:val="1"/>
        </w:numPr>
        <w:spacing w:after="100" w:line="300"/>
      </w:pPr>
      <w:r>
        <w:t xml:space="preserve">Website evidence is limited to bounded public page review within the requested domain family.</w:t>
      </w:r>
    </w:p>
    <w:p>
      <w:pPr>
        <w:pStyle w:val="ListParagraph"/>
        <w:numPr>
          <w:ilvl w:val="0"/>
          <w:numId w:val="1"/>
        </w:numPr>
        <w:spacing w:after="100" w:line="300"/>
      </w:pPr>
      <w:r>
        <w:t xml:space="preserve">Policies are presented as editable draft guidelines.</w:t>
      </w:r>
    </w:p>
    <w:p>
      <w:pPr>
        <w:pStyle w:val="Heading1"/>
      </w:pPr>
      <w:r>
        <w:t xml:space="preserve">Assumptions and Missing Information</w:t>
      </w:r>
    </w:p>
    <w:p>
      <w:pPr>
        <w:pStyle w:val="Heading2"/>
      </w:pPr>
      <w:r>
        <w:t xml:space="preserve">Assumptions</w:t>
      </w:r>
    </w:p>
    <w:p>
      <w:pPr>
        <w:pStyle w:val="ListParagraph"/>
        <w:numPr>
          <w:ilvl w:val="0"/>
          <w:numId w:val="1"/>
        </w:numPr>
        <w:spacing w:after="100" w:line="300"/>
      </w:pPr>
      <w:r>
        <w:t xml:space="preserve">The website scan in this phase is bounded to public pages within the requested domain family and may be incomplete.</w:t>
      </w:r>
    </w:p>
    <w:p>
      <w:pPr>
        <w:pStyle w:val="ListParagraph"/>
        <w:numPr>
          <w:ilvl w:val="0"/>
          <w:numId w:val="1"/>
        </w:numPr>
        <w:spacing w:after="100" w:line="300"/>
      </w:pPr>
      <w:r>
        <w:t xml:space="preserve">Framework mappings are provided as high-level drafting references only.</w:t>
      </w:r>
    </w:p>
    <w:p>
      <w:pPr>
        <w:pStyle w:val="Heading2"/>
      </w:pPr>
      <w:r>
        <w:t xml:space="preserve">Missing Information</w:t>
      </w:r>
    </w:p>
    <w:p>
      <w:pPr>
        <w:pStyle w:val="ListParagraph"/>
        <w:numPr>
          <w:ilvl w:val="0"/>
          <w:numId w:val="1"/>
        </w:numPr>
        <w:spacing w:after="100" w:line="300"/>
      </w:pPr>
      <w:r>
        <w:t xml:space="preserve">Public pages do not confirm detailed operational controls for regulated data handling.</w:t>
      </w:r>
    </w:p>
    <w:p>
      <w:pPr>
        <w:pStyle w:val="Heading1"/>
      </w:pPr>
      <w:r>
        <w:t xml:space="preserve">Package Snapshot</w:t>
      </w:r>
    </w:p>
    <w:p>
      <w:pPr>
        <w:spacing w:after="120" w:line="320"/>
      </w:pPr>
      <w:r>
        <w:t xml:space="preserve">This draft guidelines package is grounded in 6 business inputs, 4 website evidence notes, and 2 priority risks. Detailed grounding appears in the appendices so the policy language itself stays readable.</w:t>
      </w:r>
    </w:p>
    <w:p>
      <w:pPr>
        <w:pStyle w:val="Heading2"/>
      </w:pPr>
      <w:r>
        <w:t xml:space="preserve">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ageBreakBefore/>
        <w:spacing w:after="80"/>
      </w:pPr>
      <w:r>
        <w:rPr>
          <w:b/>
          <w:bCs/>
          <w:color w:val="496171"/>
        </w:rPr>
        <w:t xml:space="preserve">AI Acceptable Use Policy</w:t>
      </w:r>
    </w:p>
    <w:p>
      <w:pPr>
        <w:pStyle w:val="Heading1"/>
      </w:pPr>
      <w:r>
        <w:t xml:space="preserve">AI Acceptable Use Policy</w:t>
      </w:r>
    </w:p>
    <w:p>
      <w:pPr>
        <w:spacing w:after="120" w:line="320"/>
      </w:pPr>
      <w:r>
        <w:t xml:space="preserve">Audience: All staff and contractors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Purpose and scope</w:t>
      </w:r>
    </w:p>
    <w:p>
      <w:pPr>
        <w:spacing w:after="120" w:line="320"/>
      </w:pPr>
      <w:r>
        <w:t xml:space="preserve">FairHire Workforce Ops may use approved AI tools to support legitimate business work. These draft guidelines apply to employees and contractors and should be reviewed by business, security, and legal stakeholders before adoption.</w:t>
      </w:r>
    </w:p>
    <w:p>
      <w:pPr>
        <w:pStyle w:val="Heading2"/>
      </w:pPr>
      <w:r>
        <w:t xml:space="preserve">Restricted and prohibited uses</w:t>
      </w:r>
    </w:p>
    <w:p>
      <w:pPr>
        <w:spacing w:after="120" w:line="320"/>
      </w:pPr>
      <w:r>
        <w:t xml:space="preserve">AI may support approved work, but it must not be used for prohibited activities such as Do not submit sensitive candidate or employee records into unapproved AI tools.; Do not use AI to make autonomous hiring, termination, promotion, compensation, or discip...</w:t>
      </w:r>
    </w:p>
    <w:p>
      <w:pPr>
        <w:pageBreakBefore/>
        <w:spacing w:after="80"/>
      </w:pPr>
      <w:r>
        <w:rPr>
          <w:b/>
          <w:bCs/>
          <w:color w:val="496171"/>
        </w:rPr>
        <w:t xml:space="preserve">AI Security and Governance Policy</w:t>
      </w:r>
    </w:p>
    <w:p>
      <w:pPr>
        <w:pStyle w:val="Heading1"/>
      </w:pPr>
      <w:r>
        <w:t xml:space="preserve">AI Security &amp; Governance Policy</w:t>
      </w:r>
    </w:p>
    <w:p>
      <w:pPr>
        <w:spacing w:after="120" w:line="320"/>
      </w:pPr>
      <w:r>
        <w:t xml:space="preserve">Audience: Leadership, security, IT, and governance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Roles and responsibilities</w:t>
      </w:r>
    </w:p>
    <w:p>
      <w:pPr>
        <w:spacing w:after="120" w:line="320"/>
      </w:pPr>
      <w:r>
        <w:t xml:space="preserve">Business owners, security reviewers, and legal stakeholders should share responsibility for approving AI use cases, reviewing exceptions, and confirming that policy language matches actual operations.</w:t>
      </w:r>
    </w:p>
    <w:p>
      <w:pPr>
        <w:pStyle w:val="Heading2"/>
      </w:pPr>
      <w:r>
        <w:t xml:space="preserve">Logging and monitoring</w:t>
      </w:r>
    </w:p>
    <w:p>
      <w:pPr>
        <w:spacing w:after="120" w:line="320"/>
      </w:pPr>
      <w:r>
        <w:t xml:space="preserve">AI-assisted workflows should follow the organization's logging expectations, with additional attention on customer-facing outputs and other high-impact uses. Incident review and exception tracking should be documented in a lightweight, repeatable way.</w:t>
      </w:r>
    </w:p>
    <w:p>
      <w:pPr>
        <w:pageBreakBefore/>
        <w:spacing w:after="80"/>
      </w:pPr>
      <w:r>
        <w:rPr>
          <w:b/>
          <w:bCs/>
          <w:color w:val="496171"/>
        </w:rPr>
        <w:t xml:space="preserve">Employee AI Usage Standard</w:t>
      </w:r>
    </w:p>
    <w:p>
      <w:pPr>
        <w:pStyle w:val="Heading1"/>
      </w:pPr>
      <w:r>
        <w:t xml:space="preserve">Employee AI Usage Standard</w:t>
      </w:r>
    </w:p>
    <w:p>
      <w:pPr>
        <w:spacing w:after="120" w:line="320"/>
      </w:pPr>
      <w:r>
        <w:t xml:space="preserve">Audience: Employees and managers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Daily use rules</w:t>
      </w:r>
    </w:p>
    <w:p>
      <w:pPr>
        <w:spacing w:after="120" w:line="320"/>
      </w:pPr>
      <w:r>
        <w:t xml:space="preserve">Employees may use approved AI tools for Job description and communication drafting, Candidate and employee communication support, Policy and benefits summarization, Workforce operations analysis. Customer-visible or externally shared outputs should stay wit...</w:t>
      </w:r>
    </w:p>
    <w:p>
      <w:pPr>
        <w:pStyle w:val="Heading2"/>
      </w:pPr>
      <w:r>
        <w:t xml:space="preserve">Review and verification</w:t>
      </w:r>
    </w:p>
    <w:p>
      <w:pPr>
        <w:spacing w:after="120" w:line="320"/>
      </w:pPr>
      <w:r>
        <w:t xml:space="preserve">AI output must be checked for accuracy, completeness, and business appropriateness before it is relied on. When facts are uncertain or the impact is high, employees should escalate rather than assume the output is correct.</w:t>
      </w:r>
    </w:p>
    <w:p>
      <w:pPr>
        <w:pageBreakBefore/>
        <w:spacing w:after="80"/>
      </w:pPr>
      <w:r>
        <w:rPr>
          <w:b/>
          <w:bCs/>
          <w:color w:val="496171"/>
        </w:rPr>
        <w:t xml:space="preserve">Third-Party AI Review Checklist</w:t>
      </w:r>
    </w:p>
    <w:p>
      <w:pPr>
        <w:pStyle w:val="Heading1"/>
      </w:pPr>
      <w:r>
        <w:t xml:space="preserve">Third-Party AI Review Checklist</w:t>
      </w:r>
    </w:p>
    <w:p>
      <w:pPr>
        <w:spacing w:after="120" w:line="320"/>
      </w:pPr>
      <w:r>
        <w:t xml:space="preserve">Audience: Security, procurement, and business owners | Status: Draft</w:t>
      </w:r>
    </w:p>
    <w:p>
      <w:pPr>
        <w:spacing w:after="160"/>
      </w:pPr>
      <w:r>
        <w:rPr>
          <w:i/>
          <w:iCs/>
          <w:color w:val="496171"/>
        </w:rPr>
        <w:t xml:space="preserve">Draft guidelines only. Review by business, security, and legal stakeholders is required before adoption.</w:t>
      </w:r>
    </w:p>
    <w:p>
      <w:pPr>
        <w:pStyle w:val="Heading2"/>
      </w:pPr>
      <w:r>
        <w:t xml:space="preserve">Vendor basics</w:t>
      </w:r>
    </w:p>
    <w:p>
      <w:pPr>
        <w:spacing w:after="120" w:line="320"/>
      </w:pPr>
      <w:r>
        <w:t xml:space="preserve">Record the tool name, business owner, intended use case, and whether the tool may affect customers directly. If the use case changes materially, repeat the review.</w:t>
      </w:r>
    </w:p>
    <w:p>
      <w:pPr>
        <w:pStyle w:val="Heading2"/>
      </w:pPr>
      <w:r>
        <w:t xml:space="preserve">Data exposure and retention</w:t>
      </w:r>
    </w:p>
    <w:p>
      <w:pPr>
        <w:spacing w:after="120" w:line="320"/>
      </w:pPr>
      <w:r>
        <w:t xml:space="preserve">Review what information the vendor receives, stores, or uses for model improvement. Pay special attention to PII, employee records, customer content, and confirm whether those categories are allowed at all.</w:t>
      </w:r>
    </w:p>
    <w:p>
      <w:pPr>
        <w:pStyle w:val="Heading1"/>
        <w:pageBreakBefore/>
      </w:pPr>
      <w:r>
        <w:t xml:space="preserve">Appendix A | Business Inputs</w:t>
      </w:r>
    </w:p>
    <w:p>
      <w:pPr>
        <w:pStyle w:val="ListParagraph"/>
        <w:numPr>
          <w:ilvl w:val="0"/>
          <w:numId w:val="1"/>
        </w:numPr>
        <w:spacing w:after="100" w:line="300"/>
      </w:pPr>
      <w:r>
        <w:rPr>
          <w:b/>
          <w:bCs/>
        </w:rPr>
        <w:t xml:space="preserve">Organization: </w:t>
      </w:r>
      <w:r>
        <w:t xml:space="preserve">FairHire Workforce Ops</w:t>
      </w:r>
    </w:p>
    <w:p>
      <w:pPr>
        <w:pStyle w:val="ListParagraph"/>
        <w:numPr>
          <w:ilvl w:val="0"/>
          <w:numId w:val="1"/>
        </w:numPr>
        <w:spacing w:after="100" w:line="300"/>
      </w:pPr>
      <w:r>
        <w:rPr>
          <w:b/>
          <w:bCs/>
        </w:rPr>
        <w:t xml:space="preserve">Primary website: </w:t>
      </w:r>
      <w:r>
        <w:t xml:space="preserve">https://hr-workforce.guardaxis.io</w:t>
      </w:r>
    </w:p>
    <w:p>
      <w:pPr>
        <w:pStyle w:val="ListParagraph"/>
        <w:numPr>
          <w:ilvl w:val="0"/>
          <w:numId w:val="1"/>
        </w:numPr>
        <w:spacing w:after="100" w:line="300"/>
      </w:pPr>
      <w:r>
        <w:rPr>
          <w:b/>
          <w:bCs/>
        </w:rPr>
        <w:t xml:space="preserve">AI usage mode: </w:t>
      </w:r>
      <w:r>
        <w:t xml:space="preserve">internal only</w:t>
      </w:r>
    </w:p>
    <w:p>
      <w:pPr>
        <w:pStyle w:val="ListParagraph"/>
        <w:numPr>
          <w:ilvl w:val="0"/>
          <w:numId w:val="1"/>
        </w:numPr>
        <w:spacing w:after="100" w:line="300"/>
      </w:pPr>
      <w:r>
        <w:rPr>
          <w:b/>
          <w:bCs/>
        </w:rPr>
        <w:t xml:space="preserve">Customer-facing AI: </w:t>
      </w:r>
      <w:r>
        <w:t xml:space="preserve">Not currently in scope</w:t>
      </w:r>
    </w:p>
    <w:p>
      <w:pPr>
        <w:pStyle w:val="ListParagraph"/>
        <w:numPr>
          <w:ilvl w:val="0"/>
          <w:numId w:val="1"/>
        </w:numPr>
        <w:spacing w:after="100" w:line="300"/>
      </w:pPr>
      <w:r>
        <w:rPr>
          <w:b/>
          <w:bCs/>
        </w:rPr>
        <w:t xml:space="preserve">Sensitive data types: </w:t>
      </w:r>
      <w:r>
        <w:t xml:space="preserve">PII, employee records, customer content</w:t>
      </w:r>
    </w:p>
    <w:p>
      <w:pPr>
        <w:pStyle w:val="ListParagraph"/>
        <w:numPr>
          <w:ilvl w:val="0"/>
          <w:numId w:val="1"/>
        </w:numPr>
        <w:spacing w:after="100" w:line="300"/>
      </w:pPr>
      <w:r>
        <w:rPr>
          <w:b/>
          <w:bCs/>
        </w:rPr>
        <w:t xml:space="preserve">Current AI tools: </w:t>
      </w:r>
      <w:r>
        <w:t xml:space="preserve">AI features inside HR or productivity tools</w:t>
      </w:r>
    </w:p>
    <w:p>
      <w:pPr>
        <w:pStyle w:val="Heading1"/>
        <w:pageBreakBefore/>
      </w:pPr>
      <w:r>
        <w:t xml:space="preserve">Appendix B | Observed Website Evidence</w:t>
      </w:r>
    </w:p>
    <w:p>
      <w:pPr>
        <w:pStyle w:val="ListParagraph"/>
        <w:numPr>
          <w:ilvl w:val="0"/>
          <w:numId w:val="1"/>
        </w:numPr>
        <w:spacing w:after="100" w:line="300"/>
      </w:pPr>
      <w:r>
        <w:rPr>
          <w:b/>
          <w:bCs/>
        </w:rPr>
        <w:t xml:space="preserve">hr-workforce.guardaxis.io: </w:t>
      </w:r>
      <w:r>
        <w:t xml:space="preserve">FairHire Workforce Ops is a sample HR operations team supporting hiring, employee communications, and workforce process improvement.</w:t>
      </w:r>
    </w:p>
    <w:p>
      <w:pPr>
        <w:spacing w:after="120" w:line="260"/>
        <w:ind w:left="720"/>
      </w:pPr>
      <w:r>
        <w:rPr>
          <w:i/>
          <w:iCs/>
          <w:color w:val="496171"/>
        </w:rPr>
        <w:t xml:space="preserve">Observed public fact | Source: hr-workforce.guardaxis.io</w:t>
      </w:r>
    </w:p>
    <w:p>
      <w:pPr>
        <w:pStyle w:val="ListParagraph"/>
        <w:numPr>
          <w:ilvl w:val="0"/>
          <w:numId w:val="1"/>
        </w:numPr>
        <w:spacing w:after="100" w:line="300"/>
      </w:pPr>
      <w:r>
        <w:rPr>
          <w:b/>
          <w:bCs/>
        </w:rPr>
        <w:t xml:space="preserve">hr-workforce.guardaxis.io/operations: </w:t>
      </w:r>
      <w:r>
        <w:t xml:space="preserve">Teams use AI for job description drafts, candidate communication support, HR policy summaries, and workforce operations analysis.</w:t>
      </w:r>
    </w:p>
    <w:p>
      <w:pPr>
        <w:spacing w:after="120" w:line="260"/>
        <w:ind w:left="720"/>
      </w:pPr>
      <w:r>
        <w:rPr>
          <w:i/>
          <w:iCs/>
          <w:color w:val="496171"/>
        </w:rPr>
        <w:t xml:space="preserve">Observed public fact | Source: hr-workforce.guardaxis.io/operations</w:t>
      </w:r>
    </w:p>
    <w:p>
      <w:pPr>
        <w:pStyle w:val="ListParagraph"/>
        <w:numPr>
          <w:ilvl w:val="0"/>
          <w:numId w:val="1"/>
        </w:numPr>
        <w:spacing w:after="100" w:line="300"/>
      </w:pPr>
      <w:r>
        <w:rPr>
          <w:b/>
          <w:bCs/>
        </w:rPr>
        <w:t xml:space="preserve">hr-workforce.guardaxis.io/trust: </w:t>
      </w:r>
      <w:r>
        <w:t xml:space="preserve">The sample trust notes emphasize human review for employment-impacting work, bias-aware evaluation, approved tool use, and audit-friendly decision boundaries.</w:t>
      </w:r>
    </w:p>
    <w:p>
      <w:pPr>
        <w:spacing w:after="120" w:line="260"/>
        <w:ind w:left="720"/>
      </w:pPr>
      <w:r>
        <w:rPr>
          <w:i/>
          <w:iCs/>
          <w:color w:val="496171"/>
        </w:rPr>
        <w:t xml:space="preserve">Observed public fact | Source: hr-workforce.guardaxis.io/trust</w:t>
      </w:r>
    </w:p>
    <w:p>
      <w:pPr>
        <w:pStyle w:val="ListParagraph"/>
        <w:numPr>
          <w:ilvl w:val="0"/>
          <w:numId w:val="1"/>
        </w:numPr>
        <w:spacing w:after="100" w:line="300"/>
      </w:pPr>
      <w:r>
        <w:rPr>
          <w:b/>
          <w:bCs/>
        </w:rPr>
        <w:t xml:space="preserve">hr-workforce.guardaxis.io/privacy: </w:t>
      </w:r>
      <w:r>
        <w:t xml:space="preserve">The sample privacy notes identify candidate data, employee records, interview notes, compensation context, and sensitive HR records as restricted.</w:t>
      </w:r>
    </w:p>
    <w:p>
      <w:pPr>
        <w:spacing w:after="120" w:line="260"/>
        <w:ind w:left="720"/>
      </w:pPr>
      <w:r>
        <w:rPr>
          <w:i/>
          <w:iCs/>
          <w:color w:val="496171"/>
        </w:rPr>
        <w:t xml:space="preserve">Observed public fact | Source: hr-workforce.guardaxis.io/privacy</w:t>
      </w:r>
    </w:p>
    <w:p>
      <w:pPr>
        <w:pStyle w:val="Heading1"/>
        <w:pageBreakBefore/>
      </w:pPr>
      <w:r>
        <w:t xml:space="preserve">Appendix C | Priority Risks</w:t>
      </w:r>
    </w:p>
    <w:p>
      <w:pPr>
        <w:pStyle w:val="ListParagraph"/>
        <w:numPr>
          <w:ilvl w:val="0"/>
          <w:numId w:val="1"/>
        </w:numPr>
        <w:spacing w:after="100" w:line="300"/>
      </w:pPr>
      <w:r>
        <w:t xml:space="preserve">Sensitive data handling needs explicit AI restrictions (High)</w:t>
      </w:r>
    </w:p>
    <w:p>
      <w:pPr>
        <w:pStyle w:val="ListParagraph"/>
        <w:numPr>
          <w:ilvl w:val="0"/>
          <w:numId w:val="1"/>
        </w:numPr>
        <w:spacing w:after="100" w:line="300"/>
      </w:pPr>
      <w:r>
        <w:t xml:space="preserve">Third-party AI tools need consistent approval and vendor review (Medium)</w:t>
      </w:r>
    </w:p>
    <w:p>
      <w:pPr>
        <w:pStyle w:val="Heading1"/>
        <w:pageBreakBefore/>
      </w:pPr>
      <w:r>
        <w:t xml:space="preserve">Appendix D | Drafting Basis by Section</w:t>
      </w:r>
    </w:p>
    <w:p>
      <w:pPr>
        <w:pStyle w:val="Heading2"/>
      </w:pPr>
      <w:r>
        <w:t xml:space="preserve">AI Acceptable Use Policy</w:t>
      </w:r>
    </w:p>
    <w:p>
      <w:pPr>
        <w:spacing w:after="120" w:line="320"/>
      </w:pPr>
      <w:r>
        <w:t xml:space="preserve">Purpose and scope</w:t>
      </w:r>
    </w:p>
    <w:p>
      <w:pPr>
        <w:pStyle w:val="ListParagraph"/>
        <w:numPr>
          <w:ilvl w:val="0"/>
          <w:numId w:val="1"/>
        </w:numPr>
        <w:spacing w:after="100" w:line="300"/>
      </w:pPr>
      <w:r>
        <w:t xml:space="preserve">Business input: AI usage mode</w:t>
      </w:r>
    </w:p>
    <w:p>
      <w:pPr>
        <w:pStyle w:val="ListParagraph"/>
        <w:numPr>
          <w:ilvl w:val="0"/>
          <w:numId w:val="1"/>
        </w:numPr>
        <w:spacing w:after="100" w:line="300"/>
      </w:pPr>
      <w:r>
        <w:t xml:space="preserve">Business input: Customer type</w:t>
      </w:r>
    </w:p>
    <w:p>
      <w:pPr>
        <w:pStyle w:val="ListParagraph"/>
        <w:numPr>
          <w:ilvl w:val="0"/>
          <w:numId w:val="1"/>
        </w:numPr>
        <w:spacing w:after="100" w:line="300"/>
      </w:pPr>
      <w:r>
        <w:t xml:space="preserve">Drafting plan: Purpose and scope</w:t>
      </w:r>
    </w:p>
    <w:p>
      <w:pPr>
        <w:pStyle w:val="Heading2"/>
      </w:pPr>
      <w:r>
        <w:t xml:space="preserve">AI Acceptable Use Policy</w:t>
      </w:r>
    </w:p>
    <w:p>
      <w:pPr>
        <w:spacing w:after="120" w:line="320"/>
      </w:pPr>
      <w:r>
        <w:t xml:space="preserve">Restricted and prohibited uses</w:t>
      </w:r>
    </w:p>
    <w:p>
      <w:pPr>
        <w:pStyle w:val="ListParagraph"/>
        <w:numPr>
          <w:ilvl w:val="0"/>
          <w:numId w:val="1"/>
        </w:numPr>
        <w:spacing w:after="100" w:line="300"/>
      </w:pPr>
      <w:r>
        <w:t xml:space="preserve">Risk driver: Sensitive data handling needs explicit AI restrictions</w:t>
      </w:r>
    </w:p>
    <w:p>
      <w:pPr>
        <w:pStyle w:val="ListParagraph"/>
        <w:numPr>
          <w:ilvl w:val="0"/>
          <w:numId w:val="1"/>
        </w:numPr>
        <w:spacing w:after="100" w:line="300"/>
      </w:pPr>
      <w:r>
        <w:t xml:space="preserve">Risk driver: Third-party AI tools need consistent approval and vendor review</w:t>
      </w:r>
    </w:p>
    <w:p>
      <w:pPr>
        <w:pStyle w:val="ListParagraph"/>
        <w:numPr>
          <w:ilvl w:val="0"/>
          <w:numId w:val="1"/>
        </w:numPr>
        <w:spacing w:after="100" w:line="300"/>
      </w:pPr>
      <w:r>
        <w:t xml:space="preserve">Drafting plan: Restricted and prohibited uses</w:t>
      </w:r>
    </w:p>
    <w:p>
      <w:pPr>
        <w:pStyle w:val="Heading2"/>
      </w:pPr>
      <w:r>
        <w:t xml:space="preserve">AI Security and Governance Policy</w:t>
      </w:r>
    </w:p>
    <w:p>
      <w:pPr>
        <w:spacing w:after="120" w:line="320"/>
      </w:pPr>
      <w:r>
        <w:t xml:space="preserve">Roles and responsibilities</w:t>
      </w:r>
    </w:p>
    <w:p>
      <w:pPr>
        <w:pStyle w:val="ListParagraph"/>
        <w:numPr>
          <w:ilvl w:val="0"/>
          <w:numId w:val="1"/>
        </w:numPr>
        <w:spacing w:after="100" w:line="300"/>
      </w:pPr>
      <w:r>
        <w:t xml:space="preserve">Business input: New tool approval</w:t>
      </w:r>
    </w:p>
    <w:p>
      <w:pPr>
        <w:pStyle w:val="ListParagraph"/>
        <w:numPr>
          <w:ilvl w:val="0"/>
          <w:numId w:val="1"/>
        </w:numPr>
        <w:spacing w:after="100" w:line="300"/>
      </w:pPr>
      <w:r>
        <w:t xml:space="preserve">Business input: Vendor review requirement</w:t>
      </w:r>
    </w:p>
    <w:p>
      <w:pPr>
        <w:pStyle w:val="ListParagraph"/>
        <w:numPr>
          <w:ilvl w:val="0"/>
          <w:numId w:val="1"/>
        </w:numPr>
        <w:spacing w:after="100" w:line="300"/>
      </w:pPr>
      <w:r>
        <w:t xml:space="preserve">Drafting plan: Roles and responsibilities</w:t>
      </w:r>
    </w:p>
    <w:p>
      <w:pPr>
        <w:pStyle w:val="Heading2"/>
      </w:pPr>
      <w:r>
        <w:t xml:space="preserve">AI Security and Governance Policy</w:t>
      </w:r>
    </w:p>
    <w:p>
      <w:pPr>
        <w:spacing w:after="120" w:line="320"/>
      </w:pPr>
      <w:r>
        <w:t xml:space="preserve">Logging and monitoring</w:t>
      </w:r>
    </w:p>
    <w:p>
      <w:pPr>
        <w:pStyle w:val="ListParagraph"/>
        <w:numPr>
          <w:ilvl w:val="0"/>
          <w:numId w:val="1"/>
        </w:numPr>
        <w:spacing w:after="100" w:line="300"/>
      </w:pPr>
      <w:r>
        <w:t xml:space="preserve">Business input: Logging requirement</w:t>
      </w:r>
    </w:p>
    <w:p>
      <w:pPr>
        <w:pStyle w:val="ListParagraph"/>
        <w:numPr>
          <w:ilvl w:val="0"/>
          <w:numId w:val="1"/>
        </w:numPr>
        <w:spacing w:after="100" w:line="300"/>
      </w:pPr>
      <w:r>
        <w:t xml:space="preserve">Risk driver: customer facing review</w:t>
      </w:r>
    </w:p>
    <w:p>
      <w:pPr>
        <w:pStyle w:val="ListParagraph"/>
        <w:numPr>
          <w:ilvl w:val="0"/>
          <w:numId w:val="1"/>
        </w:numPr>
        <w:spacing w:after="100" w:line="300"/>
      </w:pPr>
      <w:r>
        <w:t xml:space="preserve">Drafting plan: Logging and monitoring</w:t>
      </w:r>
    </w:p>
    <w:p>
      <w:pPr>
        <w:pStyle w:val="Heading2"/>
      </w:pPr>
      <w:r>
        <w:t xml:space="preserve">Employee AI Usage Standard</w:t>
      </w:r>
    </w:p>
    <w:p>
      <w:pPr>
        <w:spacing w:after="120" w:line="320"/>
      </w:pPr>
      <w:r>
        <w:t xml:space="preserve">Daily use rules</w:t>
      </w:r>
    </w:p>
    <w:p>
      <w:pPr>
        <w:pStyle w:val="ListParagraph"/>
        <w:numPr>
          <w:ilvl w:val="0"/>
          <w:numId w:val="1"/>
        </w:numPr>
        <w:spacing w:after="100" w:line="300"/>
      </w:pPr>
      <w:r>
        <w:t xml:space="preserve">Business input: Internal AI use cases</w:t>
      </w:r>
    </w:p>
    <w:p>
      <w:pPr>
        <w:pStyle w:val="ListParagraph"/>
        <w:numPr>
          <w:ilvl w:val="0"/>
          <w:numId w:val="1"/>
        </w:numPr>
        <w:spacing w:after="100" w:line="300"/>
      </w:pPr>
      <w:r>
        <w:t xml:space="preserve">Drafting plan: Daily use rules</w:t>
      </w:r>
    </w:p>
    <w:p>
      <w:pPr>
        <w:pStyle w:val="Heading2"/>
      </w:pPr>
      <w:r>
        <w:t xml:space="preserve">Employee AI Usage Standard</w:t>
      </w:r>
    </w:p>
    <w:p>
      <w:pPr>
        <w:spacing w:after="120" w:line="320"/>
      </w:pPr>
      <w:r>
        <w:t xml:space="preserve">Review and verification</w:t>
      </w:r>
    </w:p>
    <w:p>
      <w:pPr>
        <w:pStyle w:val="ListParagraph"/>
        <w:numPr>
          <w:ilvl w:val="0"/>
          <w:numId w:val="1"/>
        </w:numPr>
        <w:spacing w:after="100" w:line="300"/>
      </w:pPr>
      <w:r>
        <w:t xml:space="preserve">Business input: Human review requirement</w:t>
      </w:r>
    </w:p>
    <w:p>
      <w:pPr>
        <w:pStyle w:val="ListParagraph"/>
        <w:numPr>
          <w:ilvl w:val="0"/>
          <w:numId w:val="1"/>
        </w:numPr>
        <w:spacing w:after="100" w:line="300"/>
      </w:pPr>
      <w:r>
        <w:t xml:space="preserve">Drafting plan: Review and verification</w:t>
      </w:r>
    </w:p>
    <w:p>
      <w:pPr>
        <w:pStyle w:val="Heading2"/>
      </w:pPr>
      <w:r>
        <w:t xml:space="preserve">Third-Party AI Review Checklist</w:t>
      </w:r>
    </w:p>
    <w:p>
      <w:pPr>
        <w:spacing w:after="120" w:line="320"/>
      </w:pPr>
      <w:r>
        <w:t xml:space="preserve">Vendor basics</w:t>
      </w:r>
    </w:p>
    <w:p>
      <w:pPr>
        <w:pStyle w:val="ListParagraph"/>
        <w:numPr>
          <w:ilvl w:val="0"/>
          <w:numId w:val="1"/>
        </w:numPr>
        <w:spacing w:after="100" w:line="300"/>
      </w:pPr>
      <w:r>
        <w:t xml:space="preserve">Business input: Current AI tools</w:t>
      </w:r>
    </w:p>
    <w:p>
      <w:pPr>
        <w:pStyle w:val="ListParagraph"/>
        <w:numPr>
          <w:ilvl w:val="0"/>
          <w:numId w:val="1"/>
        </w:numPr>
        <w:spacing w:after="100" w:line="300"/>
      </w:pPr>
      <w:r>
        <w:t xml:space="preserve">Drafting plan: Vendor basics</w:t>
      </w:r>
    </w:p>
    <w:p>
      <w:pPr>
        <w:pStyle w:val="Heading2"/>
      </w:pPr>
      <w:r>
        <w:t xml:space="preserve">Third-Party AI Review Checklist</w:t>
      </w:r>
    </w:p>
    <w:p>
      <w:pPr>
        <w:spacing w:after="120" w:line="320"/>
      </w:pPr>
      <w:r>
        <w:t xml:space="preserve">Data exposure and retention</w:t>
      </w:r>
    </w:p>
    <w:p>
      <w:pPr>
        <w:pStyle w:val="ListParagraph"/>
        <w:numPr>
          <w:ilvl w:val="0"/>
          <w:numId w:val="1"/>
        </w:numPr>
        <w:spacing w:after="100" w:line="300"/>
      </w:pPr>
      <w:r>
        <w:t xml:space="preserve">Business input: Sensitive data types</w:t>
      </w:r>
    </w:p>
    <w:p>
      <w:pPr>
        <w:pStyle w:val="ListParagraph"/>
        <w:numPr>
          <w:ilvl w:val="0"/>
          <w:numId w:val="1"/>
        </w:numPr>
        <w:spacing w:after="100" w:line="300"/>
      </w:pPr>
      <w:r>
        <w:t xml:space="preserve">Drafting plan: Data exposure and retention</w:t>
      </w:r>
    </w:p>
    <w:p>
      <w:pPr>
        <w:pStyle w:val="Heading1"/>
        <w:pageBreakBefore/>
      </w:pPr>
      <w:r>
        <w:t xml:space="preserve">Appendix E | Control Mapping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c>
          <w:tcPr>
            <w:shd w:fill="EAF1F6"/>
          </w:tcPr>
          <w:p>
            <w:r>
              <w:rPr>
                <w:b/>
                <w:bCs/>
              </w:rPr>
              <w:t xml:space="preserve">Document</w:t>
            </w:r>
          </w:p>
        </w:tc>
        <w:tc>
          <w:tcPr>
            <w:shd w:fill="EAF1F6"/>
          </w:tcPr>
          <w:p>
            <w:r>
              <w:rPr>
                <w:b/>
                <w:bCs/>
              </w:rPr>
              <w:t xml:space="preserve">Section</w:t>
            </w:r>
          </w:p>
        </w:tc>
        <w:tc>
          <w:tcPr>
            <w:shd w:fill="EAF1F6"/>
          </w:tcPr>
          <w:p>
            <w:r>
              <w:rPr>
                <w:b/>
                <w:bCs/>
              </w:rPr>
              <w:t xml:space="preserve">Framework</w:t>
            </w:r>
          </w:p>
        </w:tc>
        <w:tc>
          <w:tcPr>
            <w:shd w:fill="EAF1F6"/>
          </w:tcPr>
          <w:p>
            <w:r>
              <w:rPr>
                <w:b/>
                <w:bCs/>
              </w:rPr>
              <w:t xml:space="preserve">Reference</w:t>
            </w:r>
          </w:p>
        </w:tc>
        <w:tc>
          <w:tcPr>
            <w:shd w:fill="EAF1F6"/>
          </w:tcPr>
          <w:p>
            <w:r>
              <w:rPr>
                <w:b/>
                <w:bCs/>
              </w:rPr>
              <w:t xml:space="preserve">Confidence</w:t>
            </w:r>
          </w:p>
        </w:tc>
      </w:tr>
    </w:tbl>
    <w:p>
      <w:pPr>
        <w:spacing w:after="120" w:line="320"/>
      </w:pPr>
      <w:r>
        <w:t xml:space="preserve">Framework mappings support review and drafting only and should not be treated as proof of compliance.</w:t>
      </w:r>
    </w:p>
    <w:p>
      <w:pPr>
        <w:pStyle w:val="Heading2"/>
      </w:pPr>
      <w:r>
        <w:t xml:space="preserve">Review Disclaimer</w:t>
      </w:r>
    </w:p>
    <w:p>
      <w:pPr>
        <w:spacing w:after="120" w:line="320"/>
      </w:pPr>
      <w:r>
        <w:t xml:space="preserve">Draft guidelines only. This material does not establish compliance, certification, or legal sufficiency and must be reviewed by business, security, and legal stakeholders.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1F2933"/>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b/>
      <w:bCs/>
      <w:color w:val="17354A"/>
      <w:sz w:val="30"/>
      <w:szCs w:val="30"/>
    </w:rPr>
  </w:style>
  <w:style w:type="paragraph" w:styleId="Heading2">
    <w:name w:val="Heading 2"/>
    <w:basedOn w:val="Normal"/>
    <w:next w:val="Normal"/>
    <w:qFormat/>
    <w:rPr>
      <w:b/>
      <w:bCs/>
      <w:color w:val="17354A"/>
      <w:sz w:val="24"/>
      <w:szCs w:val="24"/>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2026-05-17T12:42:36.923Z</dcterms:created>
  <dcterms:modified xsi:type="dcterms:W3CDTF">2026-05-17T12:42:36.923Z</dcterms:modified>
</cp:coreProperties>
</file>

<file path=docProps/custom.xml><?xml version="1.0" encoding="utf-8"?>
<Properties xmlns="http://schemas.openxmlformats.org/officeDocument/2006/custom-properties" xmlns:vt="http://schemas.openxmlformats.org/officeDocument/2006/docPropsVTypes"/>
</file>