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SignalCraft Agency | Prepared with GuardAxis</w:t>
      </w:r>
    </w:p>
    <w:p>
      <w:pPr>
        <w:spacing w:after="120" w:line="320"/>
      </w:pPr>
      <w:r>
        <w:t xml:space="preserve">SignalCraft Agency receives a high draft risk posture in this Phase 2 demo because the intake indicates internal and external AI use with PII, customer content, trade secrets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4.</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the exact guardrails used for customer-facing AI outputs.</w:t>
      </w:r>
    </w:p>
    <w:p>
      <w:pPr>
        <w:pStyle w:val="Heading1"/>
      </w:pPr>
      <w:r>
        <w:t xml:space="preserve">Package Snapshot</w:t>
      </w:r>
    </w:p>
    <w:p>
      <w:pPr>
        <w:spacing w:after="120" w:line="320"/>
      </w:pPr>
      <w:r>
        <w:t xml:space="preserve">This draft guidelines package is grounded in 6 business inputs, 4 website evidence notes, and 4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SignalCraft Agency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confidential client strategy, unreleased campaigns, or sensitive audience data into unapproved AI tools.; Do not publish AI-generated claims, regulated sta...</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Campaign and copy drafting, Creative ideation and content repurposing, Client communication drafts, Performance and audience analysis support. Customer-visible or externally shared outputs should stay within approved...</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customer content, trade secrets,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SignalCraft Agency</w:t>
      </w:r>
    </w:p>
    <w:p>
      <w:pPr>
        <w:pStyle w:val="ListParagraph"/>
        <w:numPr>
          <w:ilvl w:val="0"/>
          <w:numId w:val="1"/>
        </w:numPr>
        <w:spacing w:after="100" w:line="300"/>
      </w:pPr>
      <w:r>
        <w:rPr>
          <w:b/>
          <w:bCs/>
        </w:rPr>
        <w:t xml:space="preserve">Primary website: </w:t>
      </w:r>
      <w:r>
        <w:t xml:space="preserve">https://marketing-media.guardaxis.io</w:t>
      </w:r>
    </w:p>
    <w:p>
      <w:pPr>
        <w:pStyle w:val="ListParagraph"/>
        <w:numPr>
          <w:ilvl w:val="0"/>
          <w:numId w:val="1"/>
        </w:numPr>
        <w:spacing w:after="100" w:line="300"/>
      </w:pPr>
      <w:r>
        <w:rPr>
          <w:b/>
          <w:bCs/>
        </w:rPr>
        <w:t xml:space="preserve">AI usage mode: </w:t>
      </w:r>
      <w:r>
        <w:t xml:space="preserve">internal and external</w:t>
      </w:r>
    </w:p>
    <w:p>
      <w:pPr>
        <w:pStyle w:val="ListParagraph"/>
        <w:numPr>
          <w:ilvl w:val="0"/>
          <w:numId w:val="1"/>
        </w:numPr>
        <w:spacing w:after="100" w:line="300"/>
      </w:pPr>
      <w:r>
        <w:rPr>
          <w:b/>
          <w:bCs/>
        </w:rPr>
        <w:t xml:space="preserve">Customer-facing AI: </w:t>
      </w:r>
      <w:r>
        <w:t xml:space="preserve">In scope</w:t>
      </w:r>
    </w:p>
    <w:p>
      <w:pPr>
        <w:pStyle w:val="ListParagraph"/>
        <w:numPr>
          <w:ilvl w:val="0"/>
          <w:numId w:val="1"/>
        </w:numPr>
        <w:spacing w:after="100" w:line="300"/>
      </w:pPr>
      <w:r>
        <w:rPr>
          <w:b/>
          <w:bCs/>
        </w:rPr>
        <w:t xml:space="preserve">Sensitive data types: </w:t>
      </w:r>
      <w:r>
        <w:t xml:space="preserve">PII, customer content, trade secrets</w:t>
      </w:r>
    </w:p>
    <w:p>
      <w:pPr>
        <w:pStyle w:val="ListParagraph"/>
        <w:numPr>
          <w:ilvl w:val="0"/>
          <w:numId w:val="1"/>
        </w:numPr>
        <w:spacing w:after="100" w:line="300"/>
      </w:pPr>
      <w:r>
        <w:rPr>
          <w:b/>
          <w:bCs/>
        </w:rPr>
        <w:t xml:space="preserve">Current AI tools: </w:t>
      </w:r>
      <w:r>
        <w:t xml:space="preserve">ChatGPT, AI features inside marketing or creative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marketing-media.guardaxis.io: </w:t>
      </w:r>
      <w:r>
        <w:t xml:space="preserve">SignalCraft Agency is a sample creative agency supporting campaign planning, content production, brand messaging, and client communications.</w:t>
      </w:r>
    </w:p>
    <w:p>
      <w:pPr>
        <w:spacing w:after="120" w:line="260"/>
        <w:ind w:left="720"/>
      </w:pPr>
      <w:r>
        <w:rPr>
          <w:i/>
          <w:iCs/>
          <w:color w:val="496171"/>
        </w:rPr>
        <w:t xml:space="preserve">Observed public fact | Source: marketing-media.guardaxis.io</w:t>
      </w:r>
    </w:p>
    <w:p>
      <w:pPr>
        <w:pStyle w:val="ListParagraph"/>
        <w:numPr>
          <w:ilvl w:val="0"/>
          <w:numId w:val="1"/>
        </w:numPr>
        <w:spacing w:after="100" w:line="300"/>
      </w:pPr>
      <w:r>
        <w:rPr>
          <w:b/>
          <w:bCs/>
        </w:rPr>
        <w:t xml:space="preserve">marketing-media.guardaxis.io/operations: </w:t>
      </w:r>
      <w:r>
        <w:t xml:space="preserve">Teams use AI for campaign drafts, creative ideation, copy development, content repurposing, client communication drafts, and performance analysis support.</w:t>
      </w:r>
    </w:p>
    <w:p>
      <w:pPr>
        <w:spacing w:after="120" w:line="260"/>
        <w:ind w:left="720"/>
      </w:pPr>
      <w:r>
        <w:rPr>
          <w:i/>
          <w:iCs/>
          <w:color w:val="496171"/>
        </w:rPr>
        <w:t xml:space="preserve">Observed public fact | Source: marketing-media.guardaxis.io/operations</w:t>
      </w:r>
    </w:p>
    <w:p>
      <w:pPr>
        <w:pStyle w:val="ListParagraph"/>
        <w:numPr>
          <w:ilvl w:val="0"/>
          <w:numId w:val="1"/>
        </w:numPr>
        <w:spacing w:after="100" w:line="300"/>
      </w:pPr>
      <w:r>
        <w:rPr>
          <w:b/>
          <w:bCs/>
        </w:rPr>
        <w:t xml:space="preserve">marketing-media.guardaxis.io/trust: </w:t>
      </w:r>
      <w:r>
        <w:t xml:space="preserve">The sample trust notes emphasize review of claims, client approval, rights checks, confidential strategy handling, and no unsupervised publication of AI output.</w:t>
      </w:r>
    </w:p>
    <w:p>
      <w:pPr>
        <w:spacing w:after="120" w:line="260"/>
        <w:ind w:left="720"/>
      </w:pPr>
      <w:r>
        <w:rPr>
          <w:i/>
          <w:iCs/>
          <w:color w:val="496171"/>
        </w:rPr>
        <w:t xml:space="preserve">Observed public fact | Source: marketing-media.guardaxis.io/trust</w:t>
      </w:r>
    </w:p>
    <w:p>
      <w:pPr>
        <w:pStyle w:val="ListParagraph"/>
        <w:numPr>
          <w:ilvl w:val="0"/>
          <w:numId w:val="1"/>
        </w:numPr>
        <w:spacing w:after="100" w:line="300"/>
      </w:pPr>
      <w:r>
        <w:rPr>
          <w:b/>
          <w:bCs/>
        </w:rPr>
        <w:t xml:space="preserve">marketing-media.guardaxis.io/privacy: </w:t>
      </w:r>
      <w:r>
        <w:t xml:space="preserve">The sample privacy notes identify client campaign materials, audience data, customer content, unreleased creative concepts, and confidential strategy as sensitive.</w:t>
      </w:r>
    </w:p>
    <w:p>
      <w:pPr>
        <w:spacing w:after="120" w:line="260"/>
        <w:ind w:left="720"/>
      </w:pPr>
      <w:r>
        <w:rPr>
          <w:i/>
          <w:iCs/>
          <w:color w:val="496171"/>
        </w:rPr>
        <w:t xml:space="preserve">Observed public fact | Source: marketing-media.guardaxis.io/privacy</w:t>
      </w:r>
    </w:p>
    <w:p>
      <w:pPr>
        <w:pStyle w:val="Heading1"/>
        <w:pageBreakBefore/>
      </w:pPr>
      <w:r>
        <w:t xml:space="preserve">Appendix C | Priority Risks</w:t>
      </w:r>
    </w:p>
    <w:p>
      <w:pPr>
        <w:pStyle w:val="ListParagraph"/>
        <w:numPr>
          <w:ilvl w:val="0"/>
          <w:numId w:val="1"/>
        </w:numPr>
        <w:spacing w:after="100" w:line="300"/>
      </w:pPr>
      <w:r>
        <w:t xml:space="preserve">Customer-facing AI outputs need clear human review boundaries (Medium)</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Source code and proprietary information exposure risk is elevated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Source code and proprietary information exposure risk is elevated</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Customer-facing AI outputs need clear human review boundaries</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2026-05-17T12:43:35.463Z</dcterms:created>
  <dcterms:modified xsi:type="dcterms:W3CDTF">2026-05-17T12:43:35.463Z</dcterms:modified>
</cp:coreProperties>
</file>

<file path=docProps/custom.xml><?xml version="1.0" encoding="utf-8"?>
<Properties xmlns="http://schemas.openxmlformats.org/officeDocument/2006/custom-properties" xmlns:vt="http://schemas.openxmlformats.org/officeDocument/2006/docPropsVTypes"/>
</file>