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CivicBridge Solutions | Prepared with GuardAxis</w:t>
      </w:r>
    </w:p>
    <w:p>
      <w:pPr>
        <w:spacing w:after="120" w:line="320"/>
      </w:pPr>
      <w:r>
        <w:t xml:space="preserve">CivicBridge Solutions receives a high draft risk posture in this Phase 2 demo because the intake indicates internal only AI use with PII, customer content, credentials or secrets, trade secrets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3.</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3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CivicBridge Solutions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submit sensitive government, constituent, controlled, or procurement data into unapproved AI tools.; Do not use AI to make autonomous eligibility, benefits, enfor...</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drafting and staff productivity, Procurement and program documentation support, Constituent or customer service response drafting, Policy and records summarization. Customer-visible or externally shared outpu...</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PII, customer content, credentials or secrets, trade secrets,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CivicBridge Solutions</w:t>
      </w:r>
    </w:p>
    <w:p>
      <w:pPr>
        <w:pStyle w:val="ListParagraph"/>
        <w:numPr>
          <w:ilvl w:val="0"/>
          <w:numId w:val="1"/>
        </w:numPr>
        <w:spacing w:after="100" w:line="300"/>
      </w:pPr>
      <w:r>
        <w:rPr>
          <w:b/>
          <w:bCs/>
        </w:rPr>
        <w:t xml:space="preserve">Primary website: </w:t>
      </w:r>
      <w:r>
        <w:t xml:space="preserve">https://public-sector.guardaxis.io</w:t>
      </w:r>
    </w:p>
    <w:p>
      <w:pPr>
        <w:pStyle w:val="ListParagraph"/>
        <w:numPr>
          <w:ilvl w:val="0"/>
          <w:numId w:val="1"/>
        </w:numPr>
        <w:spacing w:after="100" w:line="300"/>
      </w:pPr>
      <w:r>
        <w:rPr>
          <w:b/>
          <w:bCs/>
        </w:rPr>
        <w:t xml:space="preserve">AI usage mode: </w:t>
      </w:r>
      <w:r>
        <w:t xml:space="preserve">internal only</w:t>
      </w:r>
    </w:p>
    <w:p>
      <w:pPr>
        <w:pStyle w:val="ListParagraph"/>
        <w:numPr>
          <w:ilvl w:val="0"/>
          <w:numId w:val="1"/>
        </w:numPr>
        <w:spacing w:after="100" w:line="300"/>
      </w:pPr>
      <w:r>
        <w:rPr>
          <w:b/>
          <w:bCs/>
        </w:rPr>
        <w:t xml:space="preserve">Customer-facing AI: </w:t>
      </w:r>
      <w:r>
        <w:t xml:space="preserve">Not currently in scope</w:t>
      </w:r>
    </w:p>
    <w:p>
      <w:pPr>
        <w:pStyle w:val="ListParagraph"/>
        <w:numPr>
          <w:ilvl w:val="0"/>
          <w:numId w:val="1"/>
        </w:numPr>
        <w:spacing w:after="100" w:line="300"/>
      </w:pPr>
      <w:r>
        <w:rPr>
          <w:b/>
          <w:bCs/>
        </w:rPr>
        <w:t xml:space="preserve">Sensitive data types: </w:t>
      </w:r>
      <w:r>
        <w:t xml:space="preserve">PII, customer content, credentials or secrets, trade secrets</w:t>
      </w:r>
    </w:p>
    <w:p>
      <w:pPr>
        <w:pStyle w:val="ListParagraph"/>
        <w:numPr>
          <w:ilvl w:val="0"/>
          <w:numId w:val="1"/>
        </w:numPr>
        <w:spacing w:after="100" w:line="300"/>
      </w:pPr>
      <w:r>
        <w:rPr>
          <w:b/>
          <w:bCs/>
        </w:rPr>
        <w:t xml:space="preserve">Current AI tools: </w:t>
      </w:r>
      <w:r>
        <w:t xml:space="preserve">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public-sector.guardaxis.io: </w:t>
      </w:r>
      <w:r>
        <w:t xml:space="preserve">CivicBridge Solutions is a sample public-sector services provider supporting agencies with operations, constituent service, procurement, and program workflows.</w:t>
      </w:r>
    </w:p>
    <w:p>
      <w:pPr>
        <w:spacing w:after="120" w:line="260"/>
        <w:ind w:left="720"/>
      </w:pPr>
      <w:r>
        <w:rPr>
          <w:i/>
          <w:iCs/>
          <w:color w:val="496171"/>
        </w:rPr>
        <w:t xml:space="preserve">Observed public fact | Source: public-sector.guardaxis.io</w:t>
      </w:r>
    </w:p>
    <w:p>
      <w:pPr>
        <w:pStyle w:val="ListParagraph"/>
        <w:numPr>
          <w:ilvl w:val="0"/>
          <w:numId w:val="1"/>
        </w:numPr>
        <w:spacing w:after="100" w:line="300"/>
      </w:pPr>
      <w:r>
        <w:rPr>
          <w:b/>
          <w:bCs/>
        </w:rPr>
        <w:t xml:space="preserve">public-sector.guardaxis.io/operations: </w:t>
      </w:r>
      <w:r>
        <w:t xml:space="preserve">Teams use AI for internal drafting, procurement documentation support, program summaries, records review support, and public communication drafts.</w:t>
      </w:r>
    </w:p>
    <w:p>
      <w:pPr>
        <w:spacing w:after="120" w:line="260"/>
        <w:ind w:left="720"/>
      </w:pPr>
      <w:r>
        <w:rPr>
          <w:i/>
          <w:iCs/>
          <w:color w:val="496171"/>
        </w:rPr>
        <w:t xml:space="preserve">Observed public fact | Source: public-sector.guardaxis.io/operations</w:t>
      </w:r>
    </w:p>
    <w:p>
      <w:pPr>
        <w:pStyle w:val="ListParagraph"/>
        <w:numPr>
          <w:ilvl w:val="0"/>
          <w:numId w:val="1"/>
        </w:numPr>
        <w:spacing w:after="100" w:line="300"/>
      </w:pPr>
      <w:r>
        <w:rPr>
          <w:b/>
          <w:bCs/>
        </w:rPr>
        <w:t xml:space="preserve">public-sector.guardaxis.io/trust: </w:t>
      </w:r>
      <w:r>
        <w:t xml:space="preserve">The sample trust notes emphasize sensitive data handling, vendor approval, review before public guidance, and clear boundaries for eligibility or enforcement workflows.</w:t>
      </w:r>
    </w:p>
    <w:p>
      <w:pPr>
        <w:spacing w:after="120" w:line="260"/>
        <w:ind w:left="720"/>
      </w:pPr>
      <w:r>
        <w:rPr>
          <w:i/>
          <w:iCs/>
          <w:color w:val="496171"/>
        </w:rPr>
        <w:t xml:space="preserve">Observed public fact | Source: public-sector.guardaxis.io/trust</w:t>
      </w:r>
    </w:p>
    <w:p>
      <w:pPr>
        <w:pStyle w:val="ListParagraph"/>
        <w:numPr>
          <w:ilvl w:val="0"/>
          <w:numId w:val="1"/>
        </w:numPr>
        <w:spacing w:after="100" w:line="300"/>
      </w:pPr>
      <w:r>
        <w:rPr>
          <w:b/>
          <w:bCs/>
        </w:rPr>
        <w:t xml:space="preserve">public-sector.guardaxis.io/privacy: </w:t>
      </w:r>
      <w:r>
        <w:t xml:space="preserve">The sample privacy notes identify constituent information, procurement documents, operational records, credentials, and customer-sensitive government data.</w:t>
      </w:r>
    </w:p>
    <w:p>
      <w:pPr>
        <w:spacing w:after="120" w:line="260"/>
        <w:ind w:left="720"/>
      </w:pPr>
      <w:r>
        <w:rPr>
          <w:i/>
          <w:iCs/>
          <w:color w:val="496171"/>
        </w:rPr>
        <w:t xml:space="preserve">Observed public fact | Source: public-sector.guardaxis.io/privacy</w:t>
      </w:r>
    </w:p>
    <w:p>
      <w:pPr>
        <w:pStyle w:val="Heading1"/>
        <w:pageBreakBefore/>
      </w:pPr>
      <w:r>
        <w:t xml:space="preserve">Appendix C | 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Source code and proprietary information exposure risk is elevated</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 facing review</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2026-07-01T16:03:39.080Z</dcterms:created>
  <dcterms:modified xsi:type="dcterms:W3CDTF">2026-07-01T16:03:39.080Z</dcterms:modified>
</cp:coreProperties>
</file>

<file path=docProps/custom.xml><?xml version="1.0" encoding="utf-8"?>
<Properties xmlns="http://schemas.openxmlformats.org/officeDocument/2006/custom-properties" xmlns:vt="http://schemas.openxmlformats.org/officeDocument/2006/docPropsVTypes"/>
</file>